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43" w:type="dxa"/>
        <w:tblInd w:w="-856" w:type="dxa"/>
        <w:tblLook w:val="04A0" w:firstRow="1" w:lastRow="0" w:firstColumn="1" w:lastColumn="0" w:noHBand="0" w:noVBand="1"/>
      </w:tblPr>
      <w:tblGrid>
        <w:gridCol w:w="4962"/>
        <w:gridCol w:w="5670"/>
        <w:gridCol w:w="2126"/>
        <w:gridCol w:w="1985"/>
      </w:tblGrid>
      <w:tr w:rsidR="003B5F26" w:rsidRPr="003B5F26" w:rsidTr="00CD352D">
        <w:trPr>
          <w:trHeight w:val="1190"/>
        </w:trPr>
        <w:tc>
          <w:tcPr>
            <w:tcW w:w="4962" w:type="dxa"/>
          </w:tcPr>
          <w:p w:rsidR="003B5F26" w:rsidRDefault="003B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F26">
              <w:rPr>
                <w:rFonts w:ascii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:rsidR="003B5F26" w:rsidRPr="003B5F26" w:rsidRDefault="003B5F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Samorządowa Szkoła Muzyczna II stopnia</w:t>
            </w: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ul. Prymasowska 6</w:t>
            </w: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96-100 Skierniewice</w:t>
            </w:r>
          </w:p>
        </w:tc>
        <w:tc>
          <w:tcPr>
            <w:tcW w:w="5670" w:type="dxa"/>
            <w:vMerge w:val="restart"/>
            <w:vAlign w:val="center"/>
          </w:tcPr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F26">
              <w:rPr>
                <w:rFonts w:ascii="Times New Roman" w:hAnsi="Times New Roman" w:cs="Times New Roman"/>
                <w:b/>
                <w:sz w:val="28"/>
                <w:szCs w:val="28"/>
              </w:rPr>
              <w:t>Rachunek zysków i strat jednostki</w:t>
            </w: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8"/>
                <w:szCs w:val="28"/>
              </w:rPr>
              <w:t>(wariant porównawczy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Sporządzony</w:t>
            </w: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dzień 31-12-2022 r.</w:t>
            </w:r>
          </w:p>
        </w:tc>
        <w:tc>
          <w:tcPr>
            <w:tcW w:w="4111" w:type="dxa"/>
            <w:gridSpan w:val="2"/>
          </w:tcPr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Adresat:</w:t>
            </w:r>
          </w:p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F26">
              <w:rPr>
                <w:rFonts w:ascii="Times New Roman" w:hAnsi="Times New Roman" w:cs="Times New Roman"/>
                <w:sz w:val="28"/>
                <w:szCs w:val="28"/>
              </w:rPr>
              <w:t>Miasto Skierniewice</w:t>
            </w:r>
          </w:p>
        </w:tc>
      </w:tr>
      <w:tr w:rsidR="003B5F26" w:rsidRPr="003B5F26" w:rsidTr="0036156A">
        <w:trPr>
          <w:trHeight w:val="710"/>
        </w:trPr>
        <w:tc>
          <w:tcPr>
            <w:tcW w:w="4962" w:type="dxa"/>
          </w:tcPr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identyfikacyjny REGON</w:t>
            </w:r>
          </w:p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10024436</w:t>
            </w:r>
          </w:p>
        </w:tc>
        <w:tc>
          <w:tcPr>
            <w:tcW w:w="5670" w:type="dxa"/>
            <w:vMerge/>
          </w:tcPr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3B5F26" w:rsidRPr="003B5F26" w:rsidRDefault="003B5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F26">
              <w:rPr>
                <w:rFonts w:ascii="Times New Roman" w:hAnsi="Times New Roman" w:cs="Times New Roman"/>
                <w:sz w:val="16"/>
                <w:szCs w:val="16"/>
              </w:rPr>
              <w:t>Wysłać bez pisma przewodniego</w:t>
            </w:r>
          </w:p>
          <w:p w:rsid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855D1E2DAB983D2C</w:t>
            </w:r>
          </w:p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26" w:rsidRPr="003B5F26" w:rsidTr="003B5F26">
        <w:trPr>
          <w:trHeight w:val="470"/>
        </w:trPr>
        <w:tc>
          <w:tcPr>
            <w:tcW w:w="10632" w:type="dxa"/>
            <w:gridSpan w:val="2"/>
          </w:tcPr>
          <w:p w:rsidR="003B5F26" w:rsidRPr="003B5F26" w:rsidRDefault="003B5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Stan na koniec roku poprzedniego</w:t>
            </w:r>
          </w:p>
        </w:tc>
        <w:tc>
          <w:tcPr>
            <w:tcW w:w="1985" w:type="dxa"/>
            <w:vAlign w:val="center"/>
          </w:tcPr>
          <w:p w:rsidR="003B5F26" w:rsidRPr="003B5F26" w:rsidRDefault="003B5F26" w:rsidP="003B5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26">
              <w:rPr>
                <w:rFonts w:ascii="Times New Roman" w:hAnsi="Times New Roman" w:cs="Times New Roman"/>
                <w:b/>
                <w:sz w:val="20"/>
                <w:szCs w:val="20"/>
              </w:rPr>
              <w:t>Stan na koniec roku bieżącego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F2355E" w:rsidP="00F2355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5E">
              <w:rPr>
                <w:rFonts w:ascii="Times New Roman" w:hAnsi="Times New Roman" w:cs="Times New Roman"/>
                <w:sz w:val="24"/>
                <w:szCs w:val="24"/>
              </w:rPr>
              <w:t xml:space="preserve">Przychody netto z podstawowej działalności operacyjnej </w:t>
            </w:r>
          </w:p>
        </w:tc>
        <w:tc>
          <w:tcPr>
            <w:tcW w:w="2126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F2355E" w:rsidP="00F2355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 netto z podstawowej działalności operacyjnej</w:t>
            </w:r>
          </w:p>
        </w:tc>
        <w:tc>
          <w:tcPr>
            <w:tcW w:w="2126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F2355E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A.I. Przychody netto ze sprzedaży produktów</w:t>
            </w:r>
          </w:p>
        </w:tc>
        <w:tc>
          <w:tcPr>
            <w:tcW w:w="2126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F2355E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A.II. Zmiana stanu produktów (zwiększenie – wartość dodatnia, zmniejszenie – wartość ujemna)</w:t>
            </w:r>
          </w:p>
        </w:tc>
        <w:tc>
          <w:tcPr>
            <w:tcW w:w="2126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F2355E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A.III. Koszt wytworzenia produktów na własne potrzeby jednostki</w:t>
            </w:r>
          </w:p>
        </w:tc>
        <w:tc>
          <w:tcPr>
            <w:tcW w:w="2126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A.IV. Przychody netto ze sprzedaży towarów i materiałów</w:t>
            </w:r>
          </w:p>
        </w:tc>
        <w:tc>
          <w:tcPr>
            <w:tcW w:w="2126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A.V. Dotacje na finansowanie działalności podstawowej</w:t>
            </w:r>
          </w:p>
        </w:tc>
        <w:tc>
          <w:tcPr>
            <w:tcW w:w="2126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F26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3B5F26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A.VI. Przychody z tytułu dochodów budżetowych</w:t>
            </w:r>
          </w:p>
        </w:tc>
        <w:tc>
          <w:tcPr>
            <w:tcW w:w="2126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3B5F26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7B351B" w:rsidRDefault="007B351B" w:rsidP="007B351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działalności operacyjnej</w:t>
            </w:r>
          </w:p>
        </w:tc>
        <w:tc>
          <w:tcPr>
            <w:tcW w:w="2126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1 494 248,12</w:t>
            </w:r>
          </w:p>
        </w:tc>
        <w:tc>
          <w:tcPr>
            <w:tcW w:w="1985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1 459 316,31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B.I. Amortyzacja</w:t>
            </w:r>
          </w:p>
        </w:tc>
        <w:tc>
          <w:tcPr>
            <w:tcW w:w="2126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985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B.II. Zużycie materiałów i energii</w:t>
            </w:r>
          </w:p>
        </w:tc>
        <w:tc>
          <w:tcPr>
            <w:tcW w:w="2126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50 493,75</w:t>
            </w:r>
          </w:p>
        </w:tc>
        <w:tc>
          <w:tcPr>
            <w:tcW w:w="1985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84 498,40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B.III. Usługi obce</w:t>
            </w:r>
          </w:p>
        </w:tc>
        <w:tc>
          <w:tcPr>
            <w:tcW w:w="2126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25 189,69</w:t>
            </w:r>
          </w:p>
        </w:tc>
        <w:tc>
          <w:tcPr>
            <w:tcW w:w="1985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25 528,54</w:t>
            </w:r>
          </w:p>
        </w:tc>
      </w:tr>
      <w:tr w:rsidR="00CC7CD7" w:rsidRPr="003B5F26" w:rsidTr="00F2355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F2355E" w:rsidRDefault="007B351B" w:rsidP="00F2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B.IV. Podatki i opłaty</w:t>
            </w:r>
          </w:p>
        </w:tc>
        <w:tc>
          <w:tcPr>
            <w:tcW w:w="2126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C7CD7" w:rsidRPr="00F2355E" w:rsidRDefault="007B351B" w:rsidP="00F23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7B52CA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B.V Wynagrodzenia</w:t>
            </w:r>
          </w:p>
        </w:tc>
        <w:tc>
          <w:tcPr>
            <w:tcW w:w="2126" w:type="dxa"/>
            <w:vAlign w:val="center"/>
          </w:tcPr>
          <w:p w:rsidR="00CC7CD7" w:rsidRPr="006E1F3E" w:rsidRDefault="007B52CA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E">
              <w:rPr>
                <w:rFonts w:ascii="Times New Roman" w:hAnsi="Times New Roman" w:cs="Times New Roman"/>
                <w:sz w:val="24"/>
                <w:szCs w:val="24"/>
              </w:rPr>
              <w:t>1 131 305,25</w:t>
            </w:r>
          </w:p>
        </w:tc>
        <w:tc>
          <w:tcPr>
            <w:tcW w:w="1985" w:type="dxa"/>
            <w:vAlign w:val="center"/>
          </w:tcPr>
          <w:p w:rsidR="00CC7CD7" w:rsidRPr="006E1F3E" w:rsidRDefault="006E1F3E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1 071 012,52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6E1F3E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B.VI. Ubezpieczenia społeczne i inne świadczenia </w:t>
            </w:r>
            <w:r w:rsidR="00782E84">
              <w:rPr>
                <w:rFonts w:ascii="Times New Roman" w:hAnsi="Times New Roman" w:cs="Times New Roman"/>
                <w:sz w:val="24"/>
                <w:szCs w:val="24"/>
              </w:rPr>
              <w:t>dla pracowników</w:t>
            </w:r>
          </w:p>
        </w:tc>
        <w:tc>
          <w:tcPr>
            <w:tcW w:w="2126" w:type="dxa"/>
            <w:vAlign w:val="center"/>
          </w:tcPr>
          <w:p w:rsidR="00CC7CD7" w:rsidRPr="006E1F3E" w:rsidRDefault="00782E84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279 556,43</w:t>
            </w:r>
          </w:p>
        </w:tc>
        <w:tc>
          <w:tcPr>
            <w:tcW w:w="1985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270 395,85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3700F1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B.VII. Pozostałe koszty rodzajowe</w:t>
            </w:r>
          </w:p>
        </w:tc>
        <w:tc>
          <w:tcPr>
            <w:tcW w:w="2126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1 703,00</w:t>
            </w:r>
          </w:p>
        </w:tc>
        <w:tc>
          <w:tcPr>
            <w:tcW w:w="1985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1 881,00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3700F1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B.VIII. Wartość sprzedanych towarów i materiałów</w:t>
            </w:r>
          </w:p>
        </w:tc>
        <w:tc>
          <w:tcPr>
            <w:tcW w:w="2126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3700F1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B.IX. Inne świadczenia finansowane z budżetu</w:t>
            </w:r>
          </w:p>
        </w:tc>
        <w:tc>
          <w:tcPr>
            <w:tcW w:w="2126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3700F1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B.X. Pozostałe obciążenia</w:t>
            </w:r>
          </w:p>
        </w:tc>
        <w:tc>
          <w:tcPr>
            <w:tcW w:w="2126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3700F1" w:rsidRDefault="003700F1" w:rsidP="003700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Zysk (strata) z działalności podstawowej (A-B)</w:t>
            </w:r>
          </w:p>
        </w:tc>
        <w:tc>
          <w:tcPr>
            <w:tcW w:w="2126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-1 494 248,12</w:t>
            </w:r>
          </w:p>
        </w:tc>
        <w:tc>
          <w:tcPr>
            <w:tcW w:w="1985" w:type="dxa"/>
            <w:vAlign w:val="center"/>
          </w:tcPr>
          <w:p w:rsidR="00CC7CD7" w:rsidRPr="006E1F3E" w:rsidRDefault="003700F1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-1 459 316,31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przychody operacyjne</w:t>
            </w:r>
          </w:p>
        </w:tc>
        <w:tc>
          <w:tcPr>
            <w:tcW w:w="2126" w:type="dxa"/>
            <w:vAlign w:val="center"/>
          </w:tcPr>
          <w:p w:rsidR="00CC7CD7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4 596,50</w:t>
            </w:r>
          </w:p>
        </w:tc>
        <w:tc>
          <w:tcPr>
            <w:tcW w:w="1985" w:type="dxa"/>
            <w:vAlign w:val="center"/>
          </w:tcPr>
          <w:p w:rsidR="00CC7CD7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6 212,15</w:t>
            </w:r>
          </w:p>
        </w:tc>
      </w:tr>
      <w:tr w:rsidR="00CC7CD7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CC7CD7" w:rsidRPr="006E1F3E" w:rsidRDefault="00D4536B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D.I. Zysk ze zbycia niefinansowych aktywów trwałych</w:t>
            </w:r>
          </w:p>
        </w:tc>
        <w:tc>
          <w:tcPr>
            <w:tcW w:w="2126" w:type="dxa"/>
            <w:vAlign w:val="center"/>
          </w:tcPr>
          <w:p w:rsidR="00CC7CD7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C7CD7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6591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8F6591" w:rsidRPr="006E1F3E" w:rsidRDefault="00D4536B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D.II. Dotacje</w:t>
            </w:r>
          </w:p>
        </w:tc>
        <w:tc>
          <w:tcPr>
            <w:tcW w:w="2126" w:type="dxa"/>
            <w:vAlign w:val="center"/>
          </w:tcPr>
          <w:p w:rsidR="008F6591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8F6591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6591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8F6591" w:rsidRPr="006E1F3E" w:rsidRDefault="00D4536B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D.III. Inne przychody operacyjne</w:t>
            </w:r>
          </w:p>
        </w:tc>
        <w:tc>
          <w:tcPr>
            <w:tcW w:w="2126" w:type="dxa"/>
            <w:vAlign w:val="center"/>
          </w:tcPr>
          <w:p w:rsidR="008F6591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4 596,50</w:t>
            </w:r>
          </w:p>
        </w:tc>
        <w:tc>
          <w:tcPr>
            <w:tcW w:w="1985" w:type="dxa"/>
            <w:vAlign w:val="center"/>
          </w:tcPr>
          <w:p w:rsidR="008F6591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6 212,15</w:t>
            </w:r>
          </w:p>
        </w:tc>
      </w:tr>
      <w:tr w:rsidR="00F2355E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F2355E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koszty operacyjne</w:t>
            </w:r>
          </w:p>
        </w:tc>
        <w:tc>
          <w:tcPr>
            <w:tcW w:w="2126" w:type="dxa"/>
            <w:vAlign w:val="center"/>
          </w:tcPr>
          <w:p w:rsidR="00F2355E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F2355E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355E" w:rsidRPr="003B5F26" w:rsidTr="006E1F3E">
        <w:trPr>
          <w:trHeight w:val="470"/>
        </w:trPr>
        <w:tc>
          <w:tcPr>
            <w:tcW w:w="10632" w:type="dxa"/>
            <w:gridSpan w:val="2"/>
            <w:vAlign w:val="center"/>
          </w:tcPr>
          <w:p w:rsidR="00F2355E" w:rsidRPr="006E1F3E" w:rsidRDefault="00D4536B" w:rsidP="006E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2126" w:type="dxa"/>
            <w:vAlign w:val="center"/>
          </w:tcPr>
          <w:p w:rsidR="00F2355E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F2355E" w:rsidRPr="006E1F3E" w:rsidRDefault="00D4536B" w:rsidP="006E1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D4536B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36B">
              <w:rPr>
                <w:rFonts w:ascii="Times New Roman" w:hAnsi="Times New Roman" w:cs="Times New Roman"/>
                <w:sz w:val="24"/>
                <w:szCs w:val="24"/>
              </w:rPr>
              <w:t>E.II. Pozostałe koszty operacyjne</w:t>
            </w:r>
          </w:p>
        </w:tc>
        <w:tc>
          <w:tcPr>
            <w:tcW w:w="2126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Zysk (strata) z działalności operacyjnej (C+D-E)</w:t>
            </w:r>
          </w:p>
        </w:tc>
        <w:tc>
          <w:tcPr>
            <w:tcW w:w="2126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-1 489 651,62</w:t>
            </w:r>
          </w:p>
        </w:tc>
        <w:tc>
          <w:tcPr>
            <w:tcW w:w="1985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-1 453 104,16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 finansowe</w:t>
            </w:r>
          </w:p>
        </w:tc>
        <w:tc>
          <w:tcPr>
            <w:tcW w:w="2126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D4536B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 Dywidendy i udziały w zyskach</w:t>
            </w:r>
          </w:p>
        </w:tc>
        <w:tc>
          <w:tcPr>
            <w:tcW w:w="2126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D4536B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G.II. Odsetki</w:t>
            </w:r>
          </w:p>
        </w:tc>
        <w:tc>
          <w:tcPr>
            <w:tcW w:w="2126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0F1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3700F1" w:rsidRPr="00D4536B" w:rsidRDefault="00D4536B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G.III Inne</w:t>
            </w:r>
          </w:p>
        </w:tc>
        <w:tc>
          <w:tcPr>
            <w:tcW w:w="2126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3700F1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finansowe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H.I. Odsetki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H.II. Inne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Zysk (strata) brutto (F+G-H)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-1 489 651,62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-1 453 104,16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dochodowy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obowiązkowe zmniejszenia zysku (zwiększenia straty)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1B7" w:rsidRPr="003B5F26" w:rsidTr="00D4536B">
        <w:trPr>
          <w:trHeight w:val="470"/>
        </w:trPr>
        <w:tc>
          <w:tcPr>
            <w:tcW w:w="10632" w:type="dxa"/>
            <w:gridSpan w:val="2"/>
            <w:vAlign w:val="center"/>
          </w:tcPr>
          <w:p w:rsidR="00EA51B7" w:rsidRPr="00D4536B" w:rsidRDefault="00D4536B" w:rsidP="00D4536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Zysk (strata) netto (I-J-K)</w:t>
            </w:r>
          </w:p>
        </w:tc>
        <w:tc>
          <w:tcPr>
            <w:tcW w:w="2126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-1 489 651,62</w:t>
            </w:r>
          </w:p>
        </w:tc>
        <w:tc>
          <w:tcPr>
            <w:tcW w:w="1985" w:type="dxa"/>
            <w:vAlign w:val="center"/>
          </w:tcPr>
          <w:p w:rsidR="00EA51B7" w:rsidRPr="00D4536B" w:rsidRDefault="00D4536B" w:rsidP="00D45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-1 453 104,16</w:t>
            </w:r>
          </w:p>
        </w:tc>
      </w:tr>
    </w:tbl>
    <w:p w:rsidR="008E2F4C" w:rsidRDefault="008E2F4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4536B" w:rsidTr="00D4536B">
        <w:tc>
          <w:tcPr>
            <w:tcW w:w="13994" w:type="dxa"/>
          </w:tcPr>
          <w:p w:rsidR="00D4536B" w:rsidRDefault="00D4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Wyjaśnienie do sprawozdania</w:t>
            </w:r>
          </w:p>
        </w:tc>
      </w:tr>
    </w:tbl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KINGA DABROWSKA                                                                         2023-03-23                                                              JAROSŁAW CHĘCIELEWSKI</w:t>
      </w:r>
    </w:p>
    <w:p w:rsidR="00D4536B" w:rsidRDefault="00D4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                                                           -----------------------------                                             ------------------------------------------------------</w:t>
      </w:r>
    </w:p>
    <w:p w:rsidR="00D4536B" w:rsidRPr="003B5F26" w:rsidRDefault="00D4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księgowy                                                                            rok, miesiąc, dzień                                                               kierownik jednostki</w:t>
      </w:r>
      <w:bookmarkStart w:id="0" w:name="_GoBack"/>
      <w:bookmarkEnd w:id="0"/>
    </w:p>
    <w:sectPr w:rsidR="00D4536B" w:rsidRPr="003B5F26" w:rsidSect="003B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EAA"/>
    <w:multiLevelType w:val="hybridMultilevel"/>
    <w:tmpl w:val="FA30C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400"/>
    <w:multiLevelType w:val="hybridMultilevel"/>
    <w:tmpl w:val="D6CCD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4CCC"/>
    <w:multiLevelType w:val="hybridMultilevel"/>
    <w:tmpl w:val="CD0CC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827D1"/>
    <w:multiLevelType w:val="hybridMultilevel"/>
    <w:tmpl w:val="702CC2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2"/>
    <w:rsid w:val="003700F1"/>
    <w:rsid w:val="003B5F26"/>
    <w:rsid w:val="005F2972"/>
    <w:rsid w:val="006E1F3E"/>
    <w:rsid w:val="00782E84"/>
    <w:rsid w:val="007B351B"/>
    <w:rsid w:val="007B52CA"/>
    <w:rsid w:val="008E2F4C"/>
    <w:rsid w:val="008F6591"/>
    <w:rsid w:val="00C7781B"/>
    <w:rsid w:val="00CC7CD7"/>
    <w:rsid w:val="00D4536B"/>
    <w:rsid w:val="00EA51B7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23DC"/>
  <w15:chartTrackingRefBased/>
  <w15:docId w15:val="{CF61B245-44BA-4D8B-A25B-7D910C4B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2024-04-09T12:12:00Z</dcterms:created>
  <dcterms:modified xsi:type="dcterms:W3CDTF">2024-04-10T09:50:00Z</dcterms:modified>
</cp:coreProperties>
</file>