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0A" w:rsidRDefault="00002801" w:rsidP="0000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DODATKOWA</w:t>
      </w:r>
    </w:p>
    <w:p w:rsidR="00002801" w:rsidRDefault="00002801" w:rsidP="000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sprawozdania finansowego, obejmuje w szczególności: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nazwę jednostki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Samorządowa Szkoła Muzyczna II st.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siedzibę jednostki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Skierniewice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jednostki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Prymasowska 6, 96-100 Skierniewice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 przedmiot działalności jednostki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okresu objętego sprawozdaniem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01-01-2020 – 31-12-2020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wskazanie, że sprawozdanie finansowe zawiera dane łączne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przyjętych zasad (polityki) rachunkowości, w tym metod wyceny aktywów i pasywów (także amortyzacji)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POLITYKI RACHUNKOWOŚCI</w:t>
            </w:r>
          </w:p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rachunkowości przyjęte przy sporządzaniu sprawozdania finansowego są zgodne z przepisami rachunkowości z uwzględnieniem ustawy o finansach publicznych.</w:t>
            </w:r>
          </w:p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WYCENY AKTYWÓW I PASYWÓW</w:t>
            </w:r>
          </w:p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Środki trwałe i WNIP – wg cen nabycia,</w:t>
            </w:r>
          </w:p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Amortyzacja – metoda liniowa,</w:t>
            </w:r>
          </w:p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Środki trwałe w budowie – cena nabycia lub koszt wytworzenia,</w:t>
            </w:r>
          </w:p>
          <w:p w:rsidR="00002801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Inwestycja długoterminowe i krótkoterminowe – wg ceny nabycia,</w:t>
            </w:r>
          </w:p>
          <w:p w:rsidR="007A0589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Długoterminowe aktywa finansowe – w wartości godziwej, w cenie nabycia z uwzględnieniem utraty wartości,</w:t>
            </w:r>
          </w:p>
          <w:p w:rsidR="007A0589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Należności – w kwocie wymaganej zapłaty z zachowaniem ostrożności,</w:t>
            </w:r>
          </w:p>
          <w:p w:rsidR="007A0589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Roszczenia i zobowiązania – w kwocie wymaganej zapłaty,</w:t>
            </w:r>
          </w:p>
          <w:p w:rsidR="007A0589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Środki pieniężne – w wartości nominalnej,</w:t>
            </w:r>
          </w:p>
        </w:tc>
      </w:tr>
      <w:tr w:rsidR="00002801" w:rsidTr="00002801">
        <w:tc>
          <w:tcPr>
            <w:tcW w:w="846" w:type="dxa"/>
          </w:tcPr>
          <w:p w:rsidR="00002801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6" w:type="dxa"/>
          </w:tcPr>
          <w:p w:rsidR="00002801" w:rsidRDefault="007A0589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finansowe zostało sporządzone w zł. i gr., zawiera dane porównywalne wg art. 46, 47 i 48 ustawy o rachunkowości;</w:t>
            </w:r>
          </w:p>
          <w:p w:rsidR="004A58E4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rachunek zysków i strat sporządzono w wersji porównawczej;</w:t>
            </w:r>
          </w:p>
          <w:p w:rsidR="004A58E4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punktem wyjściowym do sporządzenia sprawozdania finansowego były prawidłowo prowadzone księgi rachunkowe;</w:t>
            </w:r>
          </w:p>
          <w:p w:rsidR="004A58E4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dowody księgowe i księgi rachunkowe oraz dokumenty inwentaryzacyjne zostały uprzednio sprawdzone, odpowiednio zaksięgowane i chronologicznie uporządkowane;</w:t>
            </w:r>
          </w:p>
          <w:p w:rsidR="004A58E4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jednostek/ komórek organizacyjnych wchodzących w skład sprawozdania finansowego- 1</w:t>
            </w:r>
          </w:p>
          <w:p w:rsidR="004A58E4" w:rsidRPr="004A58E4" w:rsidRDefault="004A58E4" w:rsidP="004A58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informacje istotne dla jednostek/ komórek organizacyjnych sporządzających sprawozdanie finansowe za dany rok obrotowy.</w:t>
            </w:r>
          </w:p>
        </w:tc>
      </w:tr>
      <w:tr w:rsidR="00002801" w:rsidTr="00002801">
        <w:tc>
          <w:tcPr>
            <w:tcW w:w="846" w:type="dxa"/>
          </w:tcPr>
          <w:p w:rsidR="00002801" w:rsidRDefault="004A58E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216" w:type="dxa"/>
          </w:tcPr>
          <w:p w:rsidR="00002801" w:rsidRDefault="004A58E4" w:rsidP="004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 i objaśnienia obejmują w szczególności:</w:t>
            </w:r>
          </w:p>
        </w:tc>
      </w:tr>
      <w:tr w:rsidR="00002801" w:rsidTr="00002801">
        <w:tc>
          <w:tcPr>
            <w:tcW w:w="846" w:type="dxa"/>
          </w:tcPr>
          <w:p w:rsidR="00002801" w:rsidRDefault="004A58E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1" w:rsidTr="00002801">
        <w:tc>
          <w:tcPr>
            <w:tcW w:w="846" w:type="dxa"/>
          </w:tcPr>
          <w:p w:rsidR="00002801" w:rsidRDefault="004A58E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16" w:type="dxa"/>
          </w:tcPr>
          <w:p w:rsidR="00002801" w:rsidRDefault="004A58E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szczegółowy zakres zmian wartości grup rodzajowych środków trwałych, wartości niematerialnych i prawnych, zawierający stan tych aktywów na początek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A58E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prezentowane w tabeli 1.1.1. oraz tabeli 1.1.2</w:t>
            </w:r>
          </w:p>
        </w:tc>
      </w:tr>
      <w:tr w:rsidR="00002801" w:rsidTr="00002801">
        <w:tc>
          <w:tcPr>
            <w:tcW w:w="84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aktualną wartość rynkową środków trwałych, w tym dóbr kultury – o ile jednostka dysponuje takimi informacjami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gruntów użytkowanych wieczyście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16" w:type="dxa"/>
          </w:tcPr>
          <w:p w:rsidR="00002801" w:rsidRDefault="00471300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liczbę oraz wartość posiadanych papierów wartościowych, w tym akcji i udziałów oraz dłużnych papierów wartościowych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 roku do 3 lat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do 5 lat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lat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F0EC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łączną kwotę zobowiązań zabezpieczonych na majątku jednostki ze wskazaniem charakteru i formy tych zabezpieczeń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216" w:type="dxa"/>
          </w:tcPr>
          <w:p w:rsidR="00002801" w:rsidRDefault="00C906F4" w:rsidP="00C9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łączną kwotę zobowiązań warunkowych, w tym również udzielonych przez jednostkę gwarancji i poręczeń także wekslowych, niewykazanych w bilansie,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wskazaniem zobowiązań zabezpieczonych na majątku jednostki oraz charakteru i formy tych zabezpieczeń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216" w:type="dxa"/>
          </w:tcPr>
          <w:p w:rsidR="00002801" w:rsidRDefault="00C906F4" w:rsidP="00C9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łączną kwotę otrzymanych przez jednostkę gwarancji i poręczeń niewykazanych w bilansie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kwotę wypłaconych środków pieniężnych na świadczenia pracownicze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prezentowane są w tabeli 1.15.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odpisów aktualizujących wartość zapasów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C906F4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kwotę i charakter poszczególnych pozycji przychodów lub kosztów o nadzwyczajnej wartości lub które wystąpiły incydentalnie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02801" w:rsidTr="00002801">
        <w:tc>
          <w:tcPr>
            <w:tcW w:w="84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  <w:tr w:rsidR="00002801" w:rsidTr="00002801">
        <w:tc>
          <w:tcPr>
            <w:tcW w:w="84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002801" w:rsidTr="00002801">
        <w:tc>
          <w:tcPr>
            <w:tcW w:w="846" w:type="dxa"/>
          </w:tcPr>
          <w:p w:rsidR="00002801" w:rsidRDefault="00002801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02801" w:rsidRDefault="00521E82" w:rsidP="0000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</w:tc>
      </w:tr>
    </w:tbl>
    <w:p w:rsidR="00002801" w:rsidRDefault="00002801" w:rsidP="000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82" w:rsidRPr="00521E82" w:rsidRDefault="00521E82" w:rsidP="00002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E8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21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Dyrektor</w:t>
      </w:r>
    </w:p>
    <w:p w:rsidR="00002801" w:rsidRPr="00521E82" w:rsidRDefault="00521E82" w:rsidP="00002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E82">
        <w:rPr>
          <w:rFonts w:ascii="Times New Roman" w:hAnsi="Times New Roman" w:cs="Times New Roman"/>
          <w:sz w:val="20"/>
          <w:szCs w:val="20"/>
        </w:rPr>
        <w:t xml:space="preserve">Główny księgowy                                   2021-03-30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E82">
        <w:rPr>
          <w:rFonts w:ascii="Times New Roman" w:hAnsi="Times New Roman" w:cs="Times New Roman"/>
          <w:sz w:val="20"/>
          <w:szCs w:val="20"/>
        </w:rPr>
        <w:t xml:space="preserve">         Samorządowej Szkoły Muzycznej II Stopnia </w:t>
      </w:r>
    </w:p>
    <w:p w:rsidR="00002801" w:rsidRPr="00002801" w:rsidRDefault="00521E82" w:rsidP="000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Daria Kraszewska                          (rok, miesiąc, dzień)                             mgr Sławomir Trochonowicz</w:t>
      </w:r>
      <w:bookmarkStart w:id="0" w:name="_GoBack"/>
      <w:bookmarkEnd w:id="0"/>
    </w:p>
    <w:sectPr w:rsidR="00002801" w:rsidRPr="0000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167DC"/>
    <w:multiLevelType w:val="hybridMultilevel"/>
    <w:tmpl w:val="9546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1"/>
    <w:rsid w:val="00002801"/>
    <w:rsid w:val="00471300"/>
    <w:rsid w:val="004A58E4"/>
    <w:rsid w:val="00521E82"/>
    <w:rsid w:val="007A0589"/>
    <w:rsid w:val="008E290A"/>
    <w:rsid w:val="00A0772C"/>
    <w:rsid w:val="00C906F4"/>
    <w:rsid w:val="00C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AB4F-6CBA-4441-9CF2-B3C6894A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5</cp:revision>
  <dcterms:created xsi:type="dcterms:W3CDTF">2022-02-17T11:48:00Z</dcterms:created>
  <dcterms:modified xsi:type="dcterms:W3CDTF">2022-02-17T13:22:00Z</dcterms:modified>
</cp:coreProperties>
</file>